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F8" w:rsidRPr="00EB2EF8" w:rsidRDefault="00EB2EF8" w:rsidP="00EB2EF8">
      <w:pPr>
        <w:pStyle w:val="Textoindependiente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s-MX"/>
        </w:rPr>
      </w:pPr>
      <w:r w:rsidRPr="00EB2EF8">
        <w:rPr>
          <w:rFonts w:ascii="Times New Roman" w:hAnsi="Times New Roman" w:cs="Times New Roman"/>
          <w:b/>
          <w:bCs/>
          <w:noProof/>
          <w:sz w:val="28"/>
          <w:szCs w:val="28"/>
          <w:lang w:val="es-MX"/>
        </w:rPr>
        <w:t>FICHA TÉCNICA</w:t>
      </w:r>
    </w:p>
    <w:p w:rsidR="00EB2EF8" w:rsidRDefault="00EB2EF8" w:rsidP="00EB2EF8">
      <w:pPr>
        <w:pStyle w:val="Textoindependiente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</w:p>
    <w:p w:rsidR="00695CA1" w:rsidRDefault="00D36702" w:rsidP="00EB2EF8">
      <w:pPr>
        <w:pStyle w:val="Textoindependiente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  <w:t>VITAEXTRAE</w:t>
      </w:r>
      <w:r w:rsidR="00695CA1" w:rsidRPr="00EB2EF8"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  <w:t xml:space="preserve"> </w:t>
      </w:r>
      <w:r w:rsidR="00557BE1"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  <w:t>GOBERNADORA</w:t>
      </w:r>
      <w:r w:rsidR="002521A3"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  <w:t xml:space="preserve"> </w:t>
      </w:r>
    </w:p>
    <w:p w:rsidR="008675AC" w:rsidRPr="00EB2EF8" w:rsidRDefault="008675AC" w:rsidP="00EB2EF8">
      <w:pPr>
        <w:pStyle w:val="Textoindependiente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</w:p>
    <w:p w:rsidR="008675AC" w:rsidRPr="00EB2EF8" w:rsidRDefault="008675AC" w:rsidP="00EB2EF8">
      <w:pPr>
        <w:pStyle w:val="Textoindependiente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</w:p>
    <w:p w:rsidR="008675AC" w:rsidRPr="00EB2EF8" w:rsidRDefault="008675AC" w:rsidP="00EB2EF8">
      <w:pPr>
        <w:pStyle w:val="Textoindependiente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</w:p>
    <w:p w:rsidR="00E11323" w:rsidRPr="00EB2EF8" w:rsidRDefault="00E11323" w:rsidP="00EB2EF8">
      <w:pPr>
        <w:pStyle w:val="Textoindependiente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  <w:t>GENERALIDADES DEL PRODUCTO</w:t>
      </w:r>
    </w:p>
    <w:p w:rsidR="00E11323" w:rsidRPr="00EB2EF8" w:rsidRDefault="00E11323" w:rsidP="00EB2EF8">
      <w:pPr>
        <w:pStyle w:val="Textoindependiente"/>
        <w:spacing w:line="276" w:lineRule="auto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</w:p>
    <w:p w:rsidR="008675AC" w:rsidRPr="00EB2EF8" w:rsidRDefault="00727ED1" w:rsidP="00EB2EF8">
      <w:pPr>
        <w:pStyle w:val="Textoindependiente"/>
        <w:spacing w:line="276" w:lineRule="auto"/>
        <w:jc w:val="both"/>
        <w:rPr>
          <w:rFonts w:ascii="Times New Roman" w:hAnsi="Times New Roman" w:cs="Times New Roman"/>
          <w:bCs/>
          <w:noProof/>
          <w:sz w:val="22"/>
          <w:szCs w:val="22"/>
          <w:lang w:val="es-MX"/>
        </w:rPr>
      </w:pPr>
      <w:r>
        <w:rPr>
          <w:rFonts w:ascii="Times New Roman" w:hAnsi="Times New Roman" w:cs="Times New Roman"/>
          <w:bCs/>
          <w:noProof/>
          <w:sz w:val="22"/>
          <w:szCs w:val="22"/>
          <w:lang w:val="es-MX"/>
        </w:rPr>
        <w:t>Extracto botánico, líquido c</w:t>
      </w:r>
      <w:r w:rsidR="008675AC" w:rsidRPr="00EB2EF8">
        <w:rPr>
          <w:rFonts w:ascii="Times New Roman" w:hAnsi="Times New Roman" w:cs="Times New Roman"/>
          <w:bCs/>
          <w:noProof/>
          <w:sz w:val="22"/>
          <w:szCs w:val="22"/>
          <w:lang w:val="es-MX"/>
        </w:rPr>
        <w:t>oncentrado, para uso de formuladores</w:t>
      </w:r>
      <w:r w:rsidR="00E11323" w:rsidRPr="00EB2EF8">
        <w:rPr>
          <w:rFonts w:ascii="Times New Roman" w:hAnsi="Times New Roman" w:cs="Times New Roman"/>
          <w:bCs/>
          <w:noProof/>
          <w:sz w:val="22"/>
          <w:szCs w:val="22"/>
          <w:lang w:val="es-MX"/>
        </w:rPr>
        <w:t>.</w:t>
      </w:r>
    </w:p>
    <w:p w:rsidR="00EB2EF8" w:rsidRPr="00EB2EF8" w:rsidRDefault="00EB2EF8" w:rsidP="00EB2EF8">
      <w:pPr>
        <w:pStyle w:val="Textoindependiente"/>
        <w:spacing w:line="276" w:lineRule="auto"/>
        <w:jc w:val="both"/>
        <w:rPr>
          <w:rFonts w:ascii="Times New Roman" w:hAnsi="Times New Roman" w:cs="Times New Roman"/>
          <w:bCs/>
          <w:noProof/>
          <w:sz w:val="22"/>
          <w:szCs w:val="22"/>
          <w:lang w:val="es-MX"/>
        </w:rPr>
      </w:pPr>
    </w:p>
    <w:tbl>
      <w:tblPr>
        <w:tblStyle w:val="Tablaconcuadrcula"/>
        <w:tblW w:w="7611" w:type="dxa"/>
        <w:jc w:val="center"/>
        <w:tblLook w:val="04A0" w:firstRow="1" w:lastRow="0" w:firstColumn="1" w:lastColumn="0" w:noHBand="0" w:noVBand="1"/>
      </w:tblPr>
      <w:tblGrid>
        <w:gridCol w:w="4771"/>
        <w:gridCol w:w="2840"/>
      </w:tblGrid>
      <w:tr w:rsidR="00E11323" w:rsidRPr="00EB2EF8" w:rsidTr="00EB2EF8">
        <w:trPr>
          <w:trHeight w:val="315"/>
          <w:jc w:val="center"/>
        </w:trPr>
        <w:tc>
          <w:tcPr>
            <w:tcW w:w="4771" w:type="dxa"/>
            <w:noWrap/>
            <w:vAlign w:val="center"/>
            <w:hideMark/>
          </w:tcPr>
          <w:p w:rsidR="00E11323" w:rsidRPr="00EB2EF8" w:rsidRDefault="00E11323" w:rsidP="00EB2EF8">
            <w:pPr>
              <w:pStyle w:val="NormalWeb"/>
              <w:shd w:val="clear" w:color="auto" w:fill="FFFFFF"/>
              <w:spacing w:before="0" w:beforeAutospacing="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2EF8">
              <w:rPr>
                <w:b/>
                <w:bCs/>
                <w:color w:val="000000"/>
                <w:sz w:val="22"/>
                <w:szCs w:val="22"/>
              </w:rPr>
              <w:t>Componente</w:t>
            </w:r>
          </w:p>
        </w:tc>
        <w:tc>
          <w:tcPr>
            <w:tcW w:w="2840" w:type="dxa"/>
            <w:noWrap/>
            <w:vAlign w:val="center"/>
            <w:hideMark/>
          </w:tcPr>
          <w:p w:rsidR="00E11323" w:rsidRPr="00EB2EF8" w:rsidRDefault="00E11323" w:rsidP="00EB2EF8">
            <w:pPr>
              <w:pStyle w:val="NormalWeb"/>
              <w:shd w:val="clear" w:color="auto" w:fill="FFFFFF"/>
              <w:spacing w:before="0" w:beforeAutospacing="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2EF8">
              <w:rPr>
                <w:b/>
                <w:bCs/>
                <w:color w:val="000000"/>
                <w:sz w:val="22"/>
                <w:szCs w:val="22"/>
              </w:rPr>
              <w:t>Composición Porcentual %</w:t>
            </w:r>
          </w:p>
        </w:tc>
      </w:tr>
      <w:tr w:rsidR="00E11323" w:rsidRPr="00EB2EF8" w:rsidTr="00EB2EF8">
        <w:trPr>
          <w:trHeight w:val="377"/>
          <w:jc w:val="center"/>
        </w:trPr>
        <w:tc>
          <w:tcPr>
            <w:tcW w:w="4771" w:type="dxa"/>
            <w:vAlign w:val="center"/>
            <w:hideMark/>
          </w:tcPr>
          <w:p w:rsidR="00E11323" w:rsidRPr="00EB2EF8" w:rsidRDefault="00E11323" w:rsidP="00557BE1">
            <w:pPr>
              <w:pStyle w:val="NormalWeb"/>
              <w:shd w:val="clear" w:color="auto" w:fill="FFFFFF"/>
              <w:spacing w:before="0" w:beforeAutospacing="0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EB2EF8">
              <w:rPr>
                <w:color w:val="000000"/>
                <w:sz w:val="22"/>
                <w:szCs w:val="22"/>
              </w:rPr>
              <w:t xml:space="preserve">Extracto </w:t>
            </w:r>
            <w:r w:rsidR="00EE5CE4">
              <w:rPr>
                <w:color w:val="000000"/>
                <w:sz w:val="22"/>
                <w:szCs w:val="22"/>
              </w:rPr>
              <w:t>Hidroalcohólico de</w:t>
            </w:r>
            <w:r w:rsidR="0065491B">
              <w:rPr>
                <w:color w:val="000000"/>
                <w:sz w:val="22"/>
                <w:szCs w:val="22"/>
              </w:rPr>
              <w:t xml:space="preserve"> </w:t>
            </w:r>
            <w:r w:rsidR="00557BE1">
              <w:rPr>
                <w:color w:val="000000"/>
                <w:sz w:val="22"/>
                <w:szCs w:val="22"/>
              </w:rPr>
              <w:t>Gobernadora</w:t>
            </w:r>
            <w:r w:rsidR="00EE5CE4">
              <w:rPr>
                <w:color w:val="000000"/>
                <w:sz w:val="22"/>
                <w:szCs w:val="22"/>
              </w:rPr>
              <w:t xml:space="preserve"> </w:t>
            </w:r>
            <w:r w:rsidR="0065491B" w:rsidRPr="0065491B">
              <w:rPr>
                <w:sz w:val="22"/>
                <w:szCs w:val="22"/>
              </w:rPr>
              <w:t>(</w:t>
            </w:r>
            <w:r w:rsidR="00557BE1">
              <w:rPr>
                <w:i/>
                <w:sz w:val="22"/>
                <w:szCs w:val="22"/>
              </w:rPr>
              <w:t xml:space="preserve">Larrea </w:t>
            </w:r>
            <w:proofErr w:type="spellStart"/>
            <w:r w:rsidR="00557BE1">
              <w:rPr>
                <w:i/>
                <w:sz w:val="22"/>
                <w:szCs w:val="22"/>
              </w:rPr>
              <w:t>tridentata</w:t>
            </w:r>
            <w:proofErr w:type="spellEnd"/>
            <w:r w:rsidR="0065491B" w:rsidRPr="0065491B">
              <w:rPr>
                <w:sz w:val="22"/>
                <w:szCs w:val="22"/>
              </w:rPr>
              <w:t>)</w:t>
            </w:r>
            <w:r w:rsidR="0065491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40" w:type="dxa"/>
            <w:noWrap/>
            <w:vAlign w:val="center"/>
            <w:hideMark/>
          </w:tcPr>
          <w:p w:rsidR="00E11323" w:rsidRPr="00EB2EF8" w:rsidRDefault="00EB2EF8" w:rsidP="00EB2EF8">
            <w:pPr>
              <w:pStyle w:val="NormalWeb"/>
              <w:shd w:val="clear" w:color="auto" w:fill="FFFFFF"/>
              <w:spacing w:before="0" w:beforeAutospacing="0" w:line="276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E11323" w:rsidRPr="00EB2EF8" w:rsidRDefault="00E11323" w:rsidP="00EB2EF8">
      <w:pPr>
        <w:pStyle w:val="Textoindependiente"/>
        <w:spacing w:line="276" w:lineRule="auto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es-MX"/>
        </w:rPr>
      </w:pPr>
    </w:p>
    <w:p w:rsidR="00EB2EF8" w:rsidRDefault="00E11323" w:rsidP="00EB2EF8">
      <w:pPr>
        <w:pStyle w:val="Ttulo1"/>
        <w:numPr>
          <w:ilvl w:val="0"/>
          <w:numId w:val="4"/>
        </w:numPr>
        <w:spacing w:before="272" w:line="276" w:lineRule="auto"/>
        <w:ind w:left="0" w:firstLine="0"/>
        <w:rPr>
          <w:rFonts w:ascii="Times New Roman" w:hAnsi="Times New Roman" w:cs="Times New Roman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sz w:val="22"/>
          <w:szCs w:val="22"/>
          <w:lang w:val="es-MX"/>
        </w:rPr>
        <w:t>CARACTERÍSTICAS</w:t>
      </w:r>
    </w:p>
    <w:p w:rsidR="00EB2EF8" w:rsidRPr="00EB2EF8" w:rsidRDefault="00EB2EF8" w:rsidP="00EB2EF8">
      <w:pPr>
        <w:pStyle w:val="Ttulo1"/>
        <w:spacing w:before="272" w:line="276" w:lineRule="auto"/>
        <w:ind w:left="0"/>
        <w:rPr>
          <w:rFonts w:ascii="Times New Roman" w:hAnsi="Times New Roman" w:cs="Times New Roman"/>
          <w:sz w:val="22"/>
          <w:szCs w:val="22"/>
          <w:lang w:val="es-MX"/>
        </w:rPr>
      </w:pPr>
    </w:p>
    <w:p w:rsidR="00557BE1" w:rsidRDefault="00EE5CE4" w:rsidP="00557BE1">
      <w:pPr>
        <w:spacing w:after="0" w:line="276" w:lineRule="auto"/>
        <w:jc w:val="both"/>
        <w:rPr>
          <w:rFonts w:ascii="Arial" w:hAnsi="Arial" w:cs="Arial"/>
          <w:sz w:val="14"/>
          <w:szCs w:val="16"/>
        </w:rPr>
      </w:pPr>
      <w:r>
        <w:rPr>
          <w:rFonts w:ascii="Times New Roman" w:hAnsi="Times New Roman" w:cs="Times New Roman"/>
          <w:b/>
          <w:bCs/>
          <w:color w:val="231F20"/>
        </w:rPr>
        <w:t xml:space="preserve">VITAEXTRAE </w:t>
      </w:r>
      <w:r w:rsidR="00557BE1">
        <w:rPr>
          <w:rFonts w:ascii="Times New Roman" w:hAnsi="Times New Roman" w:cs="Times New Roman"/>
          <w:b/>
          <w:bCs/>
          <w:noProof/>
        </w:rPr>
        <w:t>GOBERNADORA</w:t>
      </w:r>
      <w:r w:rsidR="00F914FB" w:rsidRPr="00F914FB">
        <w:rPr>
          <w:rFonts w:ascii="Times New Roman" w:hAnsi="Times New Roman" w:cs="Times New Roman"/>
          <w:bCs/>
          <w:color w:val="231F20"/>
        </w:rPr>
        <w:t xml:space="preserve">, </w:t>
      </w:r>
      <w:r w:rsidR="00557BE1" w:rsidRPr="00557BE1">
        <w:rPr>
          <w:rFonts w:ascii="Times New Roman" w:hAnsi="Times New Roman" w:cs="Times New Roman"/>
          <w:bCs/>
          <w:color w:val="231F20"/>
        </w:rPr>
        <w:t>presenta acción de fungicida botánico ya que está elaborado a base de extracto de gobernadora (</w:t>
      </w:r>
      <w:r w:rsidR="00557BE1" w:rsidRPr="00557BE1">
        <w:rPr>
          <w:rFonts w:ascii="Times New Roman" w:hAnsi="Times New Roman" w:cs="Times New Roman"/>
          <w:bCs/>
          <w:i/>
          <w:color w:val="231F20"/>
        </w:rPr>
        <w:t xml:space="preserve">Larrea </w:t>
      </w:r>
      <w:proofErr w:type="spellStart"/>
      <w:r w:rsidR="00557BE1" w:rsidRPr="00557BE1">
        <w:rPr>
          <w:rFonts w:ascii="Times New Roman" w:hAnsi="Times New Roman" w:cs="Times New Roman"/>
          <w:bCs/>
          <w:i/>
          <w:color w:val="231F20"/>
        </w:rPr>
        <w:t>tridentata</w:t>
      </w:r>
      <w:proofErr w:type="spellEnd"/>
      <w:r w:rsidR="00557BE1" w:rsidRPr="00557BE1">
        <w:rPr>
          <w:rFonts w:ascii="Times New Roman" w:hAnsi="Times New Roman" w:cs="Times New Roman"/>
          <w:bCs/>
          <w:color w:val="231F20"/>
        </w:rPr>
        <w:t xml:space="preserve">), que contiene resinas y ácidos orgánicos con acción </w:t>
      </w:r>
      <w:proofErr w:type="spellStart"/>
      <w:r w:rsidR="00557BE1" w:rsidRPr="00557BE1">
        <w:rPr>
          <w:rFonts w:ascii="Times New Roman" w:hAnsi="Times New Roman" w:cs="Times New Roman"/>
          <w:bCs/>
          <w:color w:val="231F20"/>
        </w:rPr>
        <w:t>antifúngica</w:t>
      </w:r>
      <w:proofErr w:type="spellEnd"/>
      <w:r w:rsidR="00557BE1" w:rsidRPr="00557BE1">
        <w:rPr>
          <w:rFonts w:ascii="Times New Roman" w:hAnsi="Times New Roman" w:cs="Times New Roman"/>
          <w:bCs/>
          <w:color w:val="231F20"/>
        </w:rPr>
        <w:t xml:space="preserve">, insecticida y repelente. Inhibe la germinación de esporas y el crecimiento micelial de hongos fitopatógenos. Su principal metabolito es el </w:t>
      </w:r>
      <w:r w:rsidR="00557BE1" w:rsidRPr="00557BE1">
        <w:rPr>
          <w:rFonts w:ascii="Times New Roman" w:hAnsi="Times New Roman" w:cs="Times New Roman"/>
        </w:rPr>
        <w:t xml:space="preserve">NDGA (ácido </w:t>
      </w:r>
      <w:proofErr w:type="spellStart"/>
      <w:r w:rsidR="00557BE1" w:rsidRPr="00557BE1">
        <w:rPr>
          <w:rFonts w:ascii="Times New Roman" w:hAnsi="Times New Roman" w:cs="Times New Roman"/>
        </w:rPr>
        <w:t>nordihidroguayarético</w:t>
      </w:r>
      <w:proofErr w:type="spellEnd"/>
      <w:r w:rsidR="00557BE1" w:rsidRPr="00557BE1">
        <w:rPr>
          <w:rFonts w:ascii="Times New Roman" w:hAnsi="Times New Roman" w:cs="Times New Roman"/>
        </w:rPr>
        <w:t>).</w:t>
      </w:r>
    </w:p>
    <w:p w:rsidR="00695CA1" w:rsidRPr="004466C6" w:rsidRDefault="00695CA1" w:rsidP="007E7513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E11323" w:rsidRPr="0011058A" w:rsidRDefault="00E11323" w:rsidP="00EB2EF8">
      <w:pPr>
        <w:pStyle w:val="Prrafodelista"/>
        <w:numPr>
          <w:ilvl w:val="0"/>
          <w:numId w:val="4"/>
        </w:numPr>
        <w:tabs>
          <w:tab w:val="left" w:pos="268"/>
        </w:tabs>
        <w:spacing w:before="271" w:line="276" w:lineRule="auto"/>
        <w:ind w:left="0" w:right="105" w:firstLine="0"/>
        <w:rPr>
          <w:rFonts w:ascii="Times New Roman" w:hAnsi="Times New Roman" w:cs="Times New Roman"/>
          <w:b/>
          <w:bCs/>
          <w:lang w:val="es-MX"/>
        </w:rPr>
      </w:pPr>
      <w:r w:rsidRPr="0011058A">
        <w:rPr>
          <w:rFonts w:ascii="Times New Roman" w:hAnsi="Times New Roman" w:cs="Times New Roman"/>
          <w:b/>
          <w:bCs/>
          <w:color w:val="231F20"/>
          <w:lang w:val="es-MX"/>
        </w:rPr>
        <w:t>RECOMENDACIONES DE USO</w:t>
      </w:r>
      <w:r w:rsidR="006769B3" w:rsidRPr="0011058A">
        <w:rPr>
          <w:rFonts w:ascii="Times New Roman" w:hAnsi="Times New Roman" w:cs="Times New Roman"/>
          <w:b/>
          <w:bCs/>
          <w:color w:val="231F20"/>
          <w:lang w:val="es-MX"/>
        </w:rPr>
        <w:t xml:space="preserve"> Y APLICACIONES</w:t>
      </w:r>
    </w:p>
    <w:p w:rsidR="00EB2EF8" w:rsidRPr="0011058A" w:rsidRDefault="00EB2EF8" w:rsidP="00EB2EF8">
      <w:pPr>
        <w:pStyle w:val="Prrafodelista"/>
        <w:tabs>
          <w:tab w:val="left" w:pos="268"/>
        </w:tabs>
        <w:spacing w:before="271" w:line="276" w:lineRule="auto"/>
        <w:ind w:left="0" w:right="105"/>
        <w:rPr>
          <w:rFonts w:ascii="Times New Roman" w:hAnsi="Times New Roman" w:cs="Times New Roman"/>
          <w:b/>
          <w:bCs/>
          <w:lang w:val="es-MX"/>
        </w:rPr>
      </w:pPr>
    </w:p>
    <w:p w:rsidR="00DF0C91" w:rsidRPr="00EB2EF8" w:rsidRDefault="00E11323" w:rsidP="00EB2EF8">
      <w:pPr>
        <w:pStyle w:val="Textoindependiente"/>
        <w:spacing w:before="2" w:line="276" w:lineRule="auto"/>
        <w:ind w:right="105"/>
        <w:jc w:val="both"/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Para uso de formuladores. Se recomienda</w:t>
      </w:r>
      <w:r w:rsidRPr="00EB2EF8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efectuar </w:t>
      </w: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una</w:t>
      </w:r>
      <w:r w:rsidRPr="00EB2EF8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proofErr w:type="spellStart"/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premezcla</w:t>
      </w:r>
      <w:proofErr w:type="spellEnd"/>
      <w:r w:rsidRPr="00EB2EF8">
        <w:rPr>
          <w:rFonts w:ascii="Times New Roman" w:hAnsi="Times New Roman" w:cs="Times New Roman"/>
          <w:color w:val="231F20"/>
          <w:spacing w:val="-15"/>
          <w:sz w:val="22"/>
          <w:szCs w:val="22"/>
          <w:lang w:val="es-MX"/>
        </w:rPr>
        <w:t xml:space="preserve"> </w:t>
      </w:r>
      <w:r w:rsidR="006769B3"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de</w:t>
      </w:r>
      <w:r w:rsidRPr="00EB2EF8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Pr="00710E89">
        <w:rPr>
          <w:rFonts w:ascii="Times New Roman" w:hAnsi="Times New Roman" w:cs="Times New Roman"/>
          <w:b/>
          <w:color w:val="231F20"/>
          <w:spacing w:val="-16"/>
          <w:sz w:val="22"/>
          <w:szCs w:val="22"/>
          <w:lang w:val="es-MX"/>
        </w:rPr>
        <w:t xml:space="preserve">VITAEXTRAE </w:t>
      </w:r>
      <w:r w:rsidR="00557BE1" w:rsidRPr="00557BE1">
        <w:rPr>
          <w:rFonts w:ascii="Times New Roman" w:hAnsi="Times New Roman" w:cs="Times New Roman"/>
          <w:b/>
          <w:bCs/>
          <w:noProof/>
          <w:lang w:val="es-MX"/>
        </w:rPr>
        <w:t>GOBERNADORA</w:t>
      </w: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.</w:t>
      </w:r>
      <w:r w:rsidRPr="00EB2EF8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 </w:t>
      </w:r>
      <w:r w:rsidR="00DF0C91" w:rsidRPr="00EB2EF8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Es necesario tener conocimiento previo con evaluaciones de efectividad biológica de las dosis a utilizar del producto. Dependiendo del producto a formular, será la concentración necesaria de </w:t>
      </w:r>
      <w:r w:rsidR="00DF0C91" w:rsidRPr="00710E89">
        <w:rPr>
          <w:rFonts w:ascii="Times New Roman" w:hAnsi="Times New Roman" w:cs="Times New Roman"/>
          <w:b/>
          <w:color w:val="231F20"/>
          <w:spacing w:val="-16"/>
          <w:sz w:val="22"/>
          <w:szCs w:val="22"/>
          <w:lang w:val="es-MX"/>
        </w:rPr>
        <w:t xml:space="preserve">VITAEXTRAE </w:t>
      </w:r>
      <w:r w:rsidR="00557BE1" w:rsidRPr="00557BE1">
        <w:rPr>
          <w:rFonts w:ascii="Times New Roman" w:hAnsi="Times New Roman" w:cs="Times New Roman"/>
          <w:b/>
          <w:bCs/>
          <w:noProof/>
          <w:lang w:val="es-MX"/>
        </w:rPr>
        <w:t>GOBERNADORA</w:t>
      </w:r>
      <w:r w:rsidR="00DF0C91" w:rsidRPr="00EB2EF8"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  <w:t xml:space="preserve">. </w:t>
      </w:r>
    </w:p>
    <w:p w:rsidR="006769B3" w:rsidRPr="00EB2EF8" w:rsidRDefault="006769B3" w:rsidP="00EB2EF8">
      <w:pPr>
        <w:pStyle w:val="Textoindependiente"/>
        <w:spacing w:line="276" w:lineRule="auto"/>
        <w:ind w:right="106"/>
        <w:jc w:val="both"/>
        <w:rPr>
          <w:rFonts w:ascii="Times New Roman" w:hAnsi="Times New Roman" w:cs="Times New Roman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sz w:val="22"/>
          <w:szCs w:val="22"/>
          <w:lang w:val="es-MX"/>
        </w:rPr>
        <w:t xml:space="preserve">Soluble en agua y en aceite. Amplia utilización en la </w:t>
      </w:r>
      <w:r w:rsidR="00710E89">
        <w:rPr>
          <w:rFonts w:ascii="Times New Roman" w:hAnsi="Times New Roman" w:cs="Times New Roman"/>
          <w:sz w:val="22"/>
          <w:szCs w:val="22"/>
          <w:lang w:val="es-MX"/>
        </w:rPr>
        <w:t>agro</w:t>
      </w:r>
      <w:r w:rsidRPr="00EB2EF8">
        <w:rPr>
          <w:rFonts w:ascii="Times New Roman" w:hAnsi="Times New Roman" w:cs="Times New Roman"/>
          <w:sz w:val="22"/>
          <w:szCs w:val="22"/>
          <w:lang w:val="es-MX"/>
        </w:rPr>
        <w:t>industria del control de fitopatógenos en cereales, oleaginosas, leguminosas, frutales, frutillas, ornamentales, etc. Úsese en las concentraciones finales que requiere su producto</w:t>
      </w:r>
      <w:r w:rsidR="00710E89">
        <w:rPr>
          <w:rFonts w:ascii="Times New Roman" w:hAnsi="Times New Roman" w:cs="Times New Roman"/>
          <w:sz w:val="22"/>
          <w:szCs w:val="22"/>
          <w:lang w:val="es-MX"/>
        </w:rPr>
        <w:t xml:space="preserve"> o formulación</w:t>
      </w:r>
      <w:r w:rsidRPr="00EB2EF8">
        <w:rPr>
          <w:rFonts w:ascii="Times New Roman" w:hAnsi="Times New Roman" w:cs="Times New Roman"/>
          <w:sz w:val="22"/>
          <w:szCs w:val="22"/>
          <w:lang w:val="es-MX"/>
        </w:rPr>
        <w:t xml:space="preserve">. </w:t>
      </w:r>
    </w:p>
    <w:p w:rsidR="006769B3" w:rsidRPr="00EB2EF8" w:rsidRDefault="006769B3" w:rsidP="00EB2EF8">
      <w:pPr>
        <w:pStyle w:val="Textoindependiente"/>
        <w:spacing w:before="2" w:line="276" w:lineRule="auto"/>
        <w:ind w:right="105"/>
        <w:jc w:val="both"/>
        <w:rPr>
          <w:rFonts w:ascii="Times New Roman" w:hAnsi="Times New Roman" w:cs="Times New Roman"/>
          <w:color w:val="231F20"/>
          <w:spacing w:val="-16"/>
          <w:sz w:val="22"/>
          <w:szCs w:val="22"/>
          <w:lang w:val="es-MX"/>
        </w:rPr>
      </w:pPr>
    </w:p>
    <w:p w:rsidR="006769B3" w:rsidRPr="00EB2EF8" w:rsidRDefault="006769B3" w:rsidP="00EB2EF8">
      <w:pPr>
        <w:pStyle w:val="Textoindependiente"/>
        <w:numPr>
          <w:ilvl w:val="0"/>
          <w:numId w:val="4"/>
        </w:numPr>
        <w:spacing w:before="2" w:line="276" w:lineRule="auto"/>
        <w:ind w:left="0" w:right="105" w:firstLine="0"/>
        <w:jc w:val="both"/>
        <w:rPr>
          <w:rFonts w:ascii="Times New Roman" w:hAnsi="Times New Roman" w:cs="Times New Roman"/>
          <w:b/>
          <w:color w:val="231F20"/>
          <w:spacing w:val="-16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b/>
          <w:color w:val="231F20"/>
          <w:spacing w:val="-16"/>
          <w:sz w:val="22"/>
          <w:szCs w:val="22"/>
          <w:lang w:val="es-MX"/>
        </w:rPr>
        <w:t>BENEFICIOS</w:t>
      </w:r>
    </w:p>
    <w:p w:rsidR="006769B3" w:rsidRPr="00EB2EF8" w:rsidRDefault="006769B3" w:rsidP="00EB2EF8">
      <w:pPr>
        <w:pStyle w:val="Textoindependiente"/>
        <w:spacing w:before="2" w:line="276" w:lineRule="auto"/>
        <w:ind w:right="105"/>
        <w:jc w:val="both"/>
        <w:rPr>
          <w:rFonts w:ascii="Times New Roman" w:hAnsi="Times New Roman" w:cs="Times New Roman"/>
          <w:b/>
          <w:color w:val="231F20"/>
          <w:spacing w:val="-16"/>
          <w:sz w:val="22"/>
          <w:szCs w:val="22"/>
          <w:lang w:val="es-MX"/>
        </w:rPr>
      </w:pPr>
    </w:p>
    <w:p w:rsidR="006769B3" w:rsidRPr="00EB2EF8" w:rsidRDefault="00D10CBC" w:rsidP="00EB2EF8">
      <w:pPr>
        <w:pStyle w:val="Prrafodelista"/>
        <w:numPr>
          <w:ilvl w:val="0"/>
          <w:numId w:val="5"/>
        </w:numPr>
        <w:tabs>
          <w:tab w:val="left" w:pos="227"/>
        </w:tabs>
        <w:spacing w:before="1" w:line="276" w:lineRule="auto"/>
        <w:rPr>
          <w:rFonts w:ascii="Times New Roman" w:hAnsi="Times New Roman" w:cs="Times New Roman"/>
          <w:lang w:val="es-MX"/>
        </w:rPr>
      </w:pPr>
      <w:r w:rsidRPr="00EB2EF8">
        <w:rPr>
          <w:rFonts w:ascii="Times New Roman" w:hAnsi="Times New Roman" w:cs="Times New Roman"/>
          <w:color w:val="231F20"/>
          <w:lang w:val="es-MX"/>
        </w:rPr>
        <w:t xml:space="preserve">Potente </w:t>
      </w:r>
      <w:r w:rsidR="00557BE1">
        <w:rPr>
          <w:rFonts w:ascii="Times New Roman" w:hAnsi="Times New Roman" w:cs="Times New Roman"/>
          <w:color w:val="231F20"/>
          <w:lang w:val="es-MX"/>
        </w:rPr>
        <w:t xml:space="preserve">Fungicida - </w:t>
      </w:r>
      <w:r w:rsidRPr="00EB2EF8">
        <w:rPr>
          <w:rFonts w:ascii="Times New Roman" w:hAnsi="Times New Roman" w:cs="Times New Roman"/>
          <w:color w:val="231F20"/>
          <w:lang w:val="es-MX"/>
        </w:rPr>
        <w:t>I</w:t>
      </w:r>
      <w:r w:rsidR="006769B3" w:rsidRPr="00EB2EF8">
        <w:rPr>
          <w:rFonts w:ascii="Times New Roman" w:hAnsi="Times New Roman" w:cs="Times New Roman"/>
          <w:color w:val="231F20"/>
          <w:lang w:val="es-MX"/>
        </w:rPr>
        <w:t>nsecticida</w:t>
      </w:r>
      <w:r w:rsidRPr="00EB2EF8">
        <w:rPr>
          <w:rFonts w:ascii="Times New Roman" w:hAnsi="Times New Roman" w:cs="Times New Roman"/>
          <w:color w:val="231F20"/>
          <w:lang w:val="es-MX"/>
        </w:rPr>
        <w:t xml:space="preserve"> - </w:t>
      </w:r>
      <w:r w:rsidR="004466C6">
        <w:rPr>
          <w:rFonts w:ascii="Times New Roman" w:hAnsi="Times New Roman" w:cs="Times New Roman"/>
          <w:color w:val="231F20"/>
          <w:lang w:val="es-MX"/>
        </w:rPr>
        <w:t>Bactericida</w:t>
      </w:r>
      <w:r w:rsidR="006769B3" w:rsidRPr="00EB2EF8">
        <w:rPr>
          <w:rFonts w:ascii="Times New Roman" w:hAnsi="Times New Roman" w:cs="Times New Roman"/>
          <w:color w:val="231F20"/>
          <w:lang w:val="es-MX"/>
        </w:rPr>
        <w:t xml:space="preserve"> </w:t>
      </w:r>
      <w:r w:rsidR="00557BE1">
        <w:rPr>
          <w:rFonts w:ascii="Times New Roman" w:hAnsi="Times New Roman" w:cs="Times New Roman"/>
          <w:color w:val="231F20"/>
          <w:lang w:val="es-MX"/>
        </w:rPr>
        <w:t>-</w:t>
      </w:r>
      <w:r w:rsidRPr="00EB2EF8">
        <w:rPr>
          <w:rFonts w:ascii="Times New Roman" w:hAnsi="Times New Roman" w:cs="Times New Roman"/>
          <w:color w:val="231F20"/>
          <w:lang w:val="es-MX"/>
        </w:rPr>
        <w:t xml:space="preserve"> </w:t>
      </w:r>
      <w:r w:rsidR="00557BE1">
        <w:rPr>
          <w:rFonts w:ascii="Times New Roman" w:hAnsi="Times New Roman" w:cs="Times New Roman"/>
          <w:color w:val="231F20"/>
          <w:lang w:val="es-MX"/>
        </w:rPr>
        <w:t>Repelente -</w:t>
      </w:r>
      <w:r w:rsidR="004466C6">
        <w:rPr>
          <w:rFonts w:ascii="Times New Roman" w:hAnsi="Times New Roman" w:cs="Times New Roman"/>
          <w:color w:val="231F20"/>
          <w:lang w:val="es-MX"/>
        </w:rPr>
        <w:t xml:space="preserve"> </w:t>
      </w:r>
      <w:r w:rsidR="006769B3" w:rsidRPr="00EB2EF8">
        <w:rPr>
          <w:rFonts w:ascii="Times New Roman" w:hAnsi="Times New Roman" w:cs="Times New Roman"/>
          <w:color w:val="231F20"/>
          <w:lang w:val="es-MX"/>
        </w:rPr>
        <w:t xml:space="preserve">No genera </w:t>
      </w:r>
      <w:r w:rsidRPr="00EB2EF8">
        <w:rPr>
          <w:rFonts w:ascii="Times New Roman" w:hAnsi="Times New Roman" w:cs="Times New Roman"/>
          <w:color w:val="231F20"/>
          <w:lang w:val="es-MX"/>
        </w:rPr>
        <w:t>Resistencia</w:t>
      </w:r>
    </w:p>
    <w:p w:rsidR="006769B3" w:rsidRPr="00EB2EF8" w:rsidRDefault="006769B3" w:rsidP="00EB2EF8">
      <w:pPr>
        <w:pStyle w:val="Textoindependiente"/>
        <w:spacing w:before="2" w:line="276" w:lineRule="auto"/>
        <w:ind w:right="105"/>
        <w:jc w:val="both"/>
        <w:rPr>
          <w:rFonts w:ascii="Times New Roman" w:hAnsi="Times New Roman" w:cs="Times New Roman"/>
          <w:b/>
          <w:color w:val="231F20"/>
          <w:spacing w:val="-16"/>
          <w:sz w:val="22"/>
          <w:szCs w:val="22"/>
          <w:lang w:val="es-MX"/>
        </w:rPr>
      </w:pPr>
    </w:p>
    <w:p w:rsidR="008675AC" w:rsidRPr="00EB2EF8" w:rsidRDefault="00E11323" w:rsidP="00EB2EF8">
      <w:pPr>
        <w:pStyle w:val="Ttulo1"/>
        <w:numPr>
          <w:ilvl w:val="0"/>
          <w:numId w:val="4"/>
        </w:numPr>
        <w:spacing w:line="276" w:lineRule="auto"/>
        <w:ind w:left="0" w:firstLine="0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MÉTODO PARA DILUCIÓN DEL PRODUCTO</w:t>
      </w:r>
    </w:p>
    <w:p w:rsidR="00E11323" w:rsidRPr="00EB2EF8" w:rsidRDefault="00E11323" w:rsidP="00EB2EF8">
      <w:pPr>
        <w:pStyle w:val="Ttulo1"/>
        <w:spacing w:line="276" w:lineRule="auto"/>
        <w:ind w:left="0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</w:p>
    <w:p w:rsidR="00E11323" w:rsidRPr="00EB2EF8" w:rsidRDefault="00E11323" w:rsidP="00EB2EF8">
      <w:pPr>
        <w:spacing w:line="276" w:lineRule="auto"/>
        <w:jc w:val="both"/>
        <w:rPr>
          <w:rFonts w:ascii="Times New Roman" w:hAnsi="Times New Roman" w:cs="Times New Roman"/>
          <w:color w:val="231F20"/>
          <w:spacing w:val="5"/>
        </w:rPr>
      </w:pPr>
      <w:r w:rsidRPr="00EB2EF8">
        <w:rPr>
          <w:rFonts w:ascii="Times New Roman" w:hAnsi="Times New Roman" w:cs="Times New Roman"/>
        </w:rPr>
        <w:t xml:space="preserve">Agítese </w:t>
      </w:r>
      <w:r w:rsidR="00DF0C91" w:rsidRPr="00EB2EF8">
        <w:rPr>
          <w:rFonts w:ascii="Times New Roman" w:hAnsi="Times New Roman" w:cs="Times New Roman"/>
        </w:rPr>
        <w:t xml:space="preserve">el producto perfectamente </w:t>
      </w:r>
      <w:r w:rsidRPr="00EB2EF8">
        <w:rPr>
          <w:rFonts w:ascii="Times New Roman" w:hAnsi="Times New Roman" w:cs="Times New Roman"/>
        </w:rPr>
        <w:t>antes de usar</w:t>
      </w:r>
      <w:r w:rsidR="00DF0C91" w:rsidRPr="00EB2EF8">
        <w:rPr>
          <w:rFonts w:ascii="Times New Roman" w:hAnsi="Times New Roman" w:cs="Times New Roman"/>
        </w:rPr>
        <w:t xml:space="preserve">. </w:t>
      </w:r>
      <w:r w:rsidR="00DF0C91" w:rsidRPr="00EB2EF8">
        <w:rPr>
          <w:rFonts w:ascii="Times New Roman" w:hAnsi="Times New Roman" w:cs="Times New Roman"/>
          <w:color w:val="231F20"/>
        </w:rPr>
        <w:t>Si</w:t>
      </w:r>
      <w:r w:rsidR="00DF0C91" w:rsidRPr="00EB2EF8">
        <w:rPr>
          <w:rFonts w:ascii="Times New Roman" w:hAnsi="Times New Roman" w:cs="Times New Roman"/>
          <w:color w:val="231F20"/>
          <w:spacing w:val="-16"/>
        </w:rPr>
        <w:t xml:space="preserve"> </w:t>
      </w:r>
      <w:r w:rsidR="00DF0C91" w:rsidRPr="00EB2EF8">
        <w:rPr>
          <w:rFonts w:ascii="Times New Roman" w:hAnsi="Times New Roman" w:cs="Times New Roman"/>
          <w:color w:val="231F20"/>
        </w:rPr>
        <w:t>se</w:t>
      </w:r>
      <w:r w:rsidR="00DF0C91" w:rsidRPr="00EB2EF8">
        <w:rPr>
          <w:rFonts w:ascii="Times New Roman" w:hAnsi="Times New Roman" w:cs="Times New Roman"/>
          <w:color w:val="231F20"/>
          <w:spacing w:val="-16"/>
        </w:rPr>
        <w:t xml:space="preserve"> </w:t>
      </w:r>
      <w:r w:rsidR="00DF0C91" w:rsidRPr="00EB2EF8">
        <w:rPr>
          <w:rFonts w:ascii="Times New Roman" w:hAnsi="Times New Roman" w:cs="Times New Roman"/>
          <w:color w:val="231F20"/>
        </w:rPr>
        <w:t>vierte en tanque de agitación</w:t>
      </w:r>
      <w:r w:rsidR="006769B3" w:rsidRPr="00EB2EF8">
        <w:rPr>
          <w:rFonts w:ascii="Times New Roman" w:hAnsi="Times New Roman" w:cs="Times New Roman"/>
          <w:color w:val="231F20"/>
        </w:rPr>
        <w:t>,</w:t>
      </w:r>
      <w:r w:rsidR="00DF0C91" w:rsidRPr="00EB2EF8">
        <w:rPr>
          <w:rFonts w:ascii="Times New Roman" w:hAnsi="Times New Roman" w:cs="Times New Roman"/>
          <w:color w:val="231F20"/>
        </w:rPr>
        <w:t xml:space="preserve"> hágalo con el sistema de agitación </w:t>
      </w:r>
      <w:r w:rsidR="00DF0C91" w:rsidRPr="00EB2EF8">
        <w:rPr>
          <w:rFonts w:ascii="Times New Roman" w:hAnsi="Times New Roman" w:cs="Times New Roman"/>
          <w:color w:val="231F20"/>
          <w:spacing w:val="1"/>
        </w:rPr>
        <w:t xml:space="preserve">funcionando. </w:t>
      </w:r>
      <w:r w:rsidR="006769B3" w:rsidRPr="00EB2EF8">
        <w:rPr>
          <w:rFonts w:ascii="Times New Roman" w:hAnsi="Times New Roman" w:cs="Times New Roman"/>
        </w:rPr>
        <w:t xml:space="preserve">Adicione la dosis recomendada del producto y continúe la agitación. Mantenga una suspensión uniforme. </w:t>
      </w:r>
      <w:r w:rsidR="00DF0C91" w:rsidRPr="00EB2EF8">
        <w:rPr>
          <w:rFonts w:ascii="Times New Roman" w:hAnsi="Times New Roman" w:cs="Times New Roman"/>
          <w:color w:val="231F20"/>
          <w:spacing w:val="1"/>
        </w:rPr>
        <w:t xml:space="preserve">Nunca mezcle directamente </w:t>
      </w:r>
      <w:r w:rsidR="00DF0C91" w:rsidRPr="00EB2EF8">
        <w:rPr>
          <w:rFonts w:ascii="Times New Roman" w:hAnsi="Times New Roman" w:cs="Times New Roman"/>
          <w:color w:val="231F20"/>
        </w:rPr>
        <w:t xml:space="preserve">con las </w:t>
      </w:r>
      <w:r w:rsidR="00DF0C91" w:rsidRPr="00EB2EF8">
        <w:rPr>
          <w:rFonts w:ascii="Times New Roman" w:hAnsi="Times New Roman" w:cs="Times New Roman"/>
          <w:color w:val="231F20"/>
          <w:spacing w:val="1"/>
        </w:rPr>
        <w:t xml:space="preserve">manos. </w:t>
      </w:r>
      <w:r w:rsidR="00DF0C91" w:rsidRPr="00EB2EF8">
        <w:rPr>
          <w:rFonts w:ascii="Times New Roman" w:hAnsi="Times New Roman" w:cs="Times New Roman"/>
          <w:color w:val="231F20"/>
        </w:rPr>
        <w:lastRenderedPageBreak/>
        <w:t xml:space="preserve">Inmediatamente después de la aplicación enjuague el equipo </w:t>
      </w:r>
      <w:r w:rsidR="00DF0C91" w:rsidRPr="00EB2EF8">
        <w:rPr>
          <w:rFonts w:ascii="Times New Roman" w:hAnsi="Times New Roman" w:cs="Times New Roman"/>
          <w:color w:val="231F20"/>
          <w:spacing w:val="5"/>
        </w:rPr>
        <w:t xml:space="preserve">(tanque, mangueras) </w:t>
      </w:r>
      <w:r w:rsidR="00DF0C91" w:rsidRPr="00EB2EF8">
        <w:rPr>
          <w:rFonts w:ascii="Times New Roman" w:hAnsi="Times New Roman" w:cs="Times New Roman"/>
          <w:color w:val="231F20"/>
          <w:spacing w:val="3"/>
        </w:rPr>
        <w:t xml:space="preserve">con </w:t>
      </w:r>
      <w:r w:rsidR="00DF0C91" w:rsidRPr="00EB2EF8">
        <w:rPr>
          <w:rFonts w:ascii="Times New Roman" w:hAnsi="Times New Roman" w:cs="Times New Roman"/>
          <w:color w:val="231F20"/>
          <w:spacing w:val="5"/>
        </w:rPr>
        <w:t>agua y/o solvente</w:t>
      </w:r>
      <w:r w:rsidR="006769B3" w:rsidRPr="00EB2EF8">
        <w:rPr>
          <w:rFonts w:ascii="Times New Roman" w:hAnsi="Times New Roman" w:cs="Times New Roman"/>
          <w:color w:val="231F20"/>
          <w:spacing w:val="5"/>
        </w:rPr>
        <w:t>.</w:t>
      </w:r>
    </w:p>
    <w:p w:rsidR="00277FC6" w:rsidRPr="00EB2EF8" w:rsidRDefault="00277FC6" w:rsidP="00EB2EF8">
      <w:pPr>
        <w:spacing w:line="276" w:lineRule="auto"/>
        <w:jc w:val="both"/>
        <w:rPr>
          <w:rFonts w:ascii="Times New Roman" w:hAnsi="Times New Roman" w:cs="Times New Roman"/>
          <w:b/>
          <w:color w:val="231F20"/>
          <w:spacing w:val="5"/>
        </w:rPr>
      </w:pPr>
      <w:r w:rsidRPr="00EB2EF8">
        <w:rPr>
          <w:rFonts w:ascii="Times New Roman" w:hAnsi="Times New Roman" w:cs="Times New Roman"/>
          <w:b/>
          <w:color w:val="231F20"/>
          <w:spacing w:val="5"/>
        </w:rPr>
        <w:t>E</w:t>
      </w:r>
      <w:r w:rsidR="00A07E6F" w:rsidRPr="00EB2EF8">
        <w:rPr>
          <w:rFonts w:ascii="Times New Roman" w:hAnsi="Times New Roman" w:cs="Times New Roman"/>
          <w:b/>
          <w:color w:val="231F20"/>
          <w:spacing w:val="5"/>
        </w:rPr>
        <w:t>quipo de protección recomendado</w:t>
      </w:r>
    </w:p>
    <w:p w:rsidR="00277FC6" w:rsidRPr="00EB2EF8" w:rsidRDefault="00277FC6" w:rsidP="00EB2EF8">
      <w:pPr>
        <w:spacing w:line="276" w:lineRule="auto"/>
        <w:jc w:val="both"/>
        <w:rPr>
          <w:rFonts w:ascii="Times New Roman" w:hAnsi="Times New Roman" w:cs="Times New Roman"/>
          <w:b/>
          <w:color w:val="231F20"/>
          <w:spacing w:val="5"/>
        </w:rPr>
      </w:pPr>
      <w:r w:rsidRPr="00EB2EF8">
        <w:rPr>
          <w:rFonts w:ascii="Times New Roman" w:hAnsi="Times New Roman" w:cs="Times New Roman"/>
          <w:b/>
          <w:noProof/>
          <w:color w:val="231F20"/>
          <w:spacing w:val="5"/>
          <w:lang w:eastAsia="es-MX"/>
        </w:rPr>
        <w:drawing>
          <wp:inline distT="0" distB="0" distL="0" distR="0">
            <wp:extent cx="5543550" cy="8268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92" cy="84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FC6" w:rsidRPr="00EB2EF8" w:rsidRDefault="00277FC6" w:rsidP="00EB2EF8">
      <w:pPr>
        <w:spacing w:line="276" w:lineRule="auto"/>
        <w:jc w:val="center"/>
        <w:rPr>
          <w:rFonts w:ascii="Times New Roman" w:hAnsi="Times New Roman" w:cs="Times New Roman"/>
          <w:b/>
          <w:color w:val="231F20"/>
          <w:spacing w:val="5"/>
        </w:rPr>
      </w:pPr>
      <w:r w:rsidRPr="00EB2EF8">
        <w:rPr>
          <w:rFonts w:ascii="Times New Roman" w:hAnsi="Times New Roman" w:cs="Times New Roman"/>
          <w:b/>
          <w:color w:val="231F20"/>
          <w:spacing w:val="5"/>
        </w:rPr>
        <w:t xml:space="preserve">PRECAUCIÓN </w:t>
      </w:r>
    </w:p>
    <w:p w:rsidR="00277FC6" w:rsidRPr="00EB2EF8" w:rsidRDefault="00BC10E9" w:rsidP="00EB2EF8">
      <w:pPr>
        <w:spacing w:line="276" w:lineRule="auto"/>
        <w:jc w:val="center"/>
        <w:rPr>
          <w:rFonts w:ascii="Times New Roman" w:hAnsi="Times New Roman" w:cs="Times New Roman"/>
          <w:b/>
          <w:color w:val="231F20"/>
          <w:spacing w:val="5"/>
        </w:rPr>
      </w:pPr>
      <w:r w:rsidRPr="00EB2EF8">
        <w:rPr>
          <w:rFonts w:ascii="Times New Roman" w:hAnsi="Times New Roman" w:cs="Times New Roman"/>
          <w:b/>
          <w:color w:val="231F20"/>
          <w:spacing w:val="5"/>
        </w:rPr>
        <w:t xml:space="preserve">Categoría toxicológica: </w:t>
      </w:r>
      <w:r w:rsidR="00277FC6" w:rsidRPr="00EB2EF8">
        <w:rPr>
          <w:rFonts w:ascii="Times New Roman" w:hAnsi="Times New Roman" w:cs="Times New Roman"/>
          <w:b/>
          <w:color w:val="231F20"/>
          <w:spacing w:val="5"/>
        </w:rPr>
        <w:t>b</w:t>
      </w:r>
      <w:r w:rsidRPr="00EB2EF8">
        <w:rPr>
          <w:rFonts w:ascii="Times New Roman" w:hAnsi="Times New Roman" w:cs="Times New Roman"/>
          <w:b/>
          <w:color w:val="231F20"/>
          <w:spacing w:val="5"/>
        </w:rPr>
        <w:t>anda toxicológica color</w:t>
      </w:r>
      <w:r w:rsidR="00277FC6" w:rsidRPr="00EB2EF8">
        <w:rPr>
          <w:rFonts w:ascii="Times New Roman" w:hAnsi="Times New Roman" w:cs="Times New Roman"/>
          <w:b/>
          <w:color w:val="231F20"/>
          <w:spacing w:val="5"/>
        </w:rPr>
        <w:t xml:space="preserve"> verde</w:t>
      </w:r>
    </w:p>
    <w:p w:rsidR="00277FC6" w:rsidRPr="00EB2EF8" w:rsidRDefault="00277FC6" w:rsidP="00EB2EF8">
      <w:pPr>
        <w:pStyle w:val="Ttulo1"/>
        <w:spacing w:before="266" w:line="276" w:lineRule="auto"/>
        <w:jc w:val="center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¡SIEMPRE CALIBRE SU EQUIPO DE MEDICIÓN!</w:t>
      </w:r>
    </w:p>
    <w:p w:rsidR="00BC10E9" w:rsidRPr="00EB2EF8" w:rsidRDefault="00BC10E9" w:rsidP="00EB2EF8">
      <w:pPr>
        <w:pStyle w:val="Ttulo1"/>
        <w:spacing w:before="266" w:line="276" w:lineRule="auto"/>
        <w:jc w:val="center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</w:p>
    <w:p w:rsidR="00BC10E9" w:rsidRPr="00EB2EF8" w:rsidRDefault="00BC10E9" w:rsidP="00EB2EF8">
      <w:pPr>
        <w:pStyle w:val="Textoindependiente"/>
        <w:numPr>
          <w:ilvl w:val="0"/>
          <w:numId w:val="4"/>
        </w:numPr>
        <w:spacing w:line="276" w:lineRule="auto"/>
        <w:ind w:left="0" w:right="106" w:firstLine="0"/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b/>
          <w:bCs/>
          <w:sz w:val="22"/>
          <w:szCs w:val="22"/>
          <w:lang w:val="es-MX"/>
        </w:rPr>
        <w:t xml:space="preserve">TOXICIDAD Y MEDIDAS DE PROTECCIÓN AL AMBIENTE </w:t>
      </w:r>
    </w:p>
    <w:p w:rsidR="00BC10E9" w:rsidRPr="00EB2EF8" w:rsidRDefault="00BC10E9" w:rsidP="00EB2EF8">
      <w:pPr>
        <w:pStyle w:val="Textoindependiente"/>
        <w:spacing w:line="276" w:lineRule="auto"/>
        <w:ind w:left="1080" w:right="106"/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</w:p>
    <w:p w:rsidR="00BC10E9" w:rsidRPr="00EB2EF8" w:rsidRDefault="00BC10E9" w:rsidP="00EB2EF8">
      <w:pPr>
        <w:pStyle w:val="Textoindependiente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sz w:val="22"/>
          <w:szCs w:val="22"/>
          <w:lang w:val="es-MX"/>
        </w:rPr>
        <w:t>Puede ser nocivo en caso de ingestión. Puede ser nocivo por el contacto con la piel. Protección al ambiente: No contamine el aire, suelo, fuentes, arroyos, lagos u otros cuerpos de agua. Tiempo de reentrada: No tiene restricciones de tiempo para entrar a las superficies tratadas, solo espere a que seque la aspersión realizada.</w:t>
      </w:r>
    </w:p>
    <w:p w:rsidR="00277FC6" w:rsidRPr="00EB2EF8" w:rsidRDefault="00277FC6" w:rsidP="00EB2EF8">
      <w:pPr>
        <w:pStyle w:val="Prrafodelista"/>
        <w:numPr>
          <w:ilvl w:val="0"/>
          <w:numId w:val="4"/>
        </w:numPr>
        <w:spacing w:line="276" w:lineRule="auto"/>
        <w:ind w:left="0" w:firstLine="0"/>
        <w:jc w:val="left"/>
        <w:rPr>
          <w:rFonts w:ascii="Times New Roman" w:hAnsi="Times New Roman" w:cs="Times New Roman"/>
          <w:b/>
          <w:color w:val="231F20"/>
          <w:spacing w:val="5"/>
        </w:rPr>
      </w:pPr>
      <w:r w:rsidRPr="00EB2EF8">
        <w:rPr>
          <w:rFonts w:ascii="Times New Roman" w:hAnsi="Times New Roman" w:cs="Times New Roman"/>
          <w:b/>
          <w:color w:val="231F20"/>
          <w:spacing w:val="5"/>
        </w:rPr>
        <w:t>FITOTOXICIDAD</w:t>
      </w:r>
    </w:p>
    <w:p w:rsidR="00BC10E9" w:rsidRPr="00EB2EF8" w:rsidRDefault="00BC10E9" w:rsidP="00EB2EF8">
      <w:pPr>
        <w:spacing w:line="276" w:lineRule="auto"/>
        <w:rPr>
          <w:rFonts w:ascii="Times New Roman" w:hAnsi="Times New Roman" w:cs="Times New Roman"/>
          <w:color w:val="231F20"/>
          <w:spacing w:val="5"/>
        </w:rPr>
      </w:pPr>
    </w:p>
    <w:p w:rsidR="00277FC6" w:rsidRPr="00EB2EF8" w:rsidRDefault="00710E89" w:rsidP="00727ED1">
      <w:pPr>
        <w:spacing w:line="276" w:lineRule="auto"/>
        <w:jc w:val="both"/>
        <w:rPr>
          <w:rFonts w:ascii="Times New Roman" w:hAnsi="Times New Roman" w:cs="Times New Roman"/>
          <w:color w:val="231F20"/>
          <w:spacing w:val="5"/>
        </w:rPr>
      </w:pPr>
      <w:r w:rsidRPr="00710E89">
        <w:rPr>
          <w:rFonts w:ascii="Times New Roman" w:hAnsi="Times New Roman" w:cs="Times New Roman"/>
          <w:b/>
          <w:color w:val="231F20"/>
          <w:spacing w:val="5"/>
        </w:rPr>
        <w:t xml:space="preserve">VITAEXTRAE </w:t>
      </w:r>
      <w:r w:rsidR="00557BE1">
        <w:rPr>
          <w:rFonts w:ascii="Times New Roman" w:hAnsi="Times New Roman" w:cs="Times New Roman"/>
          <w:b/>
          <w:bCs/>
          <w:noProof/>
        </w:rPr>
        <w:t>GOBERNADORA</w:t>
      </w:r>
      <w:r w:rsidRPr="00EB2EF8">
        <w:rPr>
          <w:rFonts w:ascii="Times New Roman" w:hAnsi="Times New Roman" w:cs="Times New Roman"/>
          <w:color w:val="231F20"/>
          <w:spacing w:val="5"/>
        </w:rPr>
        <w:t xml:space="preserve"> </w:t>
      </w:r>
      <w:r w:rsidR="00277FC6" w:rsidRPr="00EB2EF8">
        <w:rPr>
          <w:rFonts w:ascii="Times New Roman" w:hAnsi="Times New Roman" w:cs="Times New Roman"/>
          <w:color w:val="231F20"/>
          <w:spacing w:val="5"/>
        </w:rPr>
        <w:t xml:space="preserve">no presenta fitotoxicidad si es diluido o formulado en concentraciones previamente evaluadas ya sea </w:t>
      </w:r>
      <w:r w:rsidR="00277FC6" w:rsidRPr="00EB2EF8">
        <w:rPr>
          <w:rFonts w:ascii="Times New Roman" w:hAnsi="Times New Roman" w:cs="Times New Roman"/>
          <w:i/>
          <w:color w:val="231F20"/>
          <w:spacing w:val="5"/>
        </w:rPr>
        <w:t xml:space="preserve">In vitro </w:t>
      </w:r>
      <w:r w:rsidR="00277FC6" w:rsidRPr="00EB2EF8">
        <w:rPr>
          <w:rFonts w:ascii="Times New Roman" w:hAnsi="Times New Roman" w:cs="Times New Roman"/>
          <w:color w:val="231F20"/>
          <w:spacing w:val="5"/>
        </w:rPr>
        <w:t>o en campo.</w:t>
      </w:r>
    </w:p>
    <w:p w:rsidR="00EB2EF8" w:rsidRPr="00EB2EF8" w:rsidRDefault="00EB2EF8" w:rsidP="00EB2EF8">
      <w:pPr>
        <w:pStyle w:val="Ttulo1"/>
        <w:numPr>
          <w:ilvl w:val="0"/>
          <w:numId w:val="4"/>
        </w:numPr>
        <w:spacing w:line="276" w:lineRule="auto"/>
        <w:ind w:left="0" w:firstLine="0"/>
        <w:jc w:val="left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>INFORMACIÓN ADICIONAL</w:t>
      </w:r>
    </w:p>
    <w:p w:rsidR="00EB2EF8" w:rsidRPr="00EB2EF8" w:rsidRDefault="00EB2EF8" w:rsidP="00EB2EF8">
      <w:pPr>
        <w:pStyle w:val="Ttulo1"/>
        <w:spacing w:line="276" w:lineRule="auto"/>
        <w:ind w:left="0"/>
        <w:jc w:val="left"/>
        <w:rPr>
          <w:rFonts w:ascii="Times New Roman" w:hAnsi="Times New Roman" w:cs="Times New Roman"/>
          <w:color w:val="231F20"/>
          <w:sz w:val="22"/>
          <w:szCs w:val="22"/>
          <w:lang w:val="es-MX"/>
        </w:rPr>
      </w:pPr>
    </w:p>
    <w:p w:rsidR="00695CA1" w:rsidRPr="00EB2EF8" w:rsidRDefault="00EB2EF8" w:rsidP="00EB2EF8">
      <w:pPr>
        <w:pStyle w:val="Ttulo1"/>
        <w:spacing w:line="276" w:lineRule="auto"/>
        <w:ind w:left="0"/>
        <w:jc w:val="left"/>
        <w:rPr>
          <w:rFonts w:ascii="Times New Roman" w:hAnsi="Times New Roman" w:cs="Times New Roman"/>
          <w:b w:val="0"/>
          <w:color w:val="231F20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Caducidad: </w:t>
      </w:r>
      <w:r w:rsidR="008675AC" w:rsidRPr="00EB2EF8">
        <w:rPr>
          <w:rFonts w:ascii="Times New Roman" w:hAnsi="Times New Roman" w:cs="Times New Roman"/>
          <w:b w:val="0"/>
          <w:color w:val="231F20"/>
          <w:sz w:val="22"/>
          <w:szCs w:val="22"/>
          <w:lang w:val="es-MX"/>
        </w:rPr>
        <w:t xml:space="preserve">bajo condiciones óptimas de almacenamiento, </w:t>
      </w:r>
      <w:r w:rsidR="00710E89" w:rsidRPr="00710E89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VITAEXTRAE </w:t>
      </w:r>
      <w:bookmarkStart w:id="0" w:name="_GoBack"/>
      <w:r w:rsidR="00557BE1" w:rsidRPr="00557BE1">
        <w:rPr>
          <w:rFonts w:ascii="Times New Roman" w:hAnsi="Times New Roman" w:cs="Times New Roman"/>
          <w:bCs w:val="0"/>
          <w:noProof/>
          <w:lang w:val="es-MX"/>
        </w:rPr>
        <w:t>GOBERNADORA</w:t>
      </w:r>
      <w:bookmarkEnd w:id="0"/>
      <w:r w:rsidR="00710E89" w:rsidRPr="00EB2EF8">
        <w:rPr>
          <w:rFonts w:ascii="Times New Roman" w:hAnsi="Times New Roman" w:cs="Times New Roman"/>
          <w:b w:val="0"/>
          <w:color w:val="231F20"/>
          <w:sz w:val="22"/>
          <w:szCs w:val="22"/>
          <w:lang w:val="es-MX"/>
        </w:rPr>
        <w:t xml:space="preserve"> </w:t>
      </w:r>
      <w:r w:rsidR="008675AC" w:rsidRPr="00EB2EF8">
        <w:rPr>
          <w:rFonts w:ascii="Times New Roman" w:hAnsi="Times New Roman" w:cs="Times New Roman"/>
          <w:b w:val="0"/>
          <w:color w:val="231F20"/>
          <w:sz w:val="22"/>
          <w:szCs w:val="22"/>
          <w:lang w:val="es-MX"/>
        </w:rPr>
        <w:t>puede durar hasta 2 años a partir de su fecha de fabricación.</w:t>
      </w:r>
    </w:p>
    <w:p w:rsidR="008675AC" w:rsidRPr="00EB2EF8" w:rsidRDefault="008675AC" w:rsidP="00EB2EF8">
      <w:pPr>
        <w:pStyle w:val="Ttulo1"/>
        <w:spacing w:line="276" w:lineRule="auto"/>
        <w:ind w:left="0"/>
        <w:jc w:val="left"/>
        <w:rPr>
          <w:rFonts w:ascii="Times New Roman" w:hAnsi="Times New Roman" w:cs="Times New Roman"/>
          <w:b w:val="0"/>
          <w:color w:val="231F20"/>
          <w:sz w:val="22"/>
          <w:szCs w:val="22"/>
          <w:lang w:val="es-MX"/>
        </w:rPr>
      </w:pPr>
      <w:r w:rsidRPr="00EB2EF8">
        <w:rPr>
          <w:rFonts w:ascii="Times New Roman" w:hAnsi="Times New Roman" w:cs="Times New Roman"/>
          <w:color w:val="231F20"/>
          <w:sz w:val="22"/>
          <w:szCs w:val="22"/>
          <w:lang w:val="es-MX"/>
        </w:rPr>
        <w:t xml:space="preserve">Condiciones de almacenamiento: </w:t>
      </w:r>
      <w:r w:rsidRPr="00EB2EF8">
        <w:rPr>
          <w:rFonts w:ascii="Times New Roman" w:hAnsi="Times New Roman" w:cs="Times New Roman"/>
          <w:b w:val="0"/>
          <w:color w:val="231F20"/>
          <w:sz w:val="22"/>
          <w:szCs w:val="22"/>
          <w:lang w:val="es-MX"/>
        </w:rPr>
        <w:t>Se recomienda evitar contacto con luz directa, a temperatura de &lt;33° C y en su envase bien cerrado.</w:t>
      </w:r>
    </w:p>
    <w:p w:rsidR="008675AC" w:rsidRPr="00EB2EF8" w:rsidRDefault="008675AC" w:rsidP="00EB2EF8">
      <w:pPr>
        <w:pStyle w:val="Ttulo1"/>
        <w:spacing w:line="276" w:lineRule="auto"/>
        <w:ind w:left="0"/>
        <w:jc w:val="left"/>
        <w:rPr>
          <w:rFonts w:ascii="Times New Roman" w:hAnsi="Times New Roman" w:cs="Times New Roman"/>
          <w:b w:val="0"/>
          <w:color w:val="231F20"/>
          <w:sz w:val="22"/>
          <w:szCs w:val="22"/>
          <w:lang w:val="es-MX"/>
        </w:rPr>
      </w:pPr>
    </w:p>
    <w:p w:rsidR="00695CA1" w:rsidRPr="00612071" w:rsidRDefault="00612071" w:rsidP="00612071">
      <w:pPr>
        <w:pStyle w:val="Textoindependiente"/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22"/>
          <w:lang w:val="es-MX"/>
        </w:rPr>
      </w:pPr>
      <w:r w:rsidRPr="00612071">
        <w:rPr>
          <w:rFonts w:ascii="Times New Roman" w:hAnsi="Times New Roman" w:cs="Times New Roman"/>
          <w:sz w:val="20"/>
          <w:lang w:val="es-MX"/>
        </w:rPr>
        <w:t>Toda la información y datos que aparecen en esta hoja de seguridad son correctos y fidedignos. Sin embargo, es responsabilidad del usuario determinar la seguridad, toxicidad y conveniencia del uso del producto descrito. Como el uso por terceros está fuera de nuestro control, no se hace ninguna garantía expresa o implícita. El usuario asume todos los riesgos y responsabilidades.</w:t>
      </w:r>
    </w:p>
    <w:sectPr w:rsidR="00695CA1" w:rsidRPr="00612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80EA7"/>
    <w:multiLevelType w:val="hybridMultilevel"/>
    <w:tmpl w:val="8A9E37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49D"/>
    <w:multiLevelType w:val="hybridMultilevel"/>
    <w:tmpl w:val="CA1E8812"/>
    <w:lvl w:ilvl="0" w:tplc="C1D6A6E8">
      <w:numFmt w:val="bullet"/>
      <w:lvlText w:val="*"/>
      <w:lvlJc w:val="left"/>
      <w:pPr>
        <w:ind w:left="112" w:hanging="114"/>
      </w:pPr>
      <w:rPr>
        <w:rFonts w:ascii="Arial Narrow" w:eastAsia="Arial Narrow" w:hAnsi="Arial Narrow" w:cs="Arial Narrow" w:hint="default"/>
        <w:color w:val="231F20"/>
        <w:w w:val="100"/>
        <w:sz w:val="24"/>
        <w:szCs w:val="24"/>
      </w:rPr>
    </w:lvl>
    <w:lvl w:ilvl="1" w:tplc="B6206CA6">
      <w:numFmt w:val="bullet"/>
      <w:lvlText w:val="•"/>
      <w:lvlJc w:val="left"/>
      <w:pPr>
        <w:ind w:left="687" w:hanging="114"/>
      </w:pPr>
      <w:rPr>
        <w:rFonts w:hint="default"/>
      </w:rPr>
    </w:lvl>
    <w:lvl w:ilvl="2" w:tplc="91CA5B46">
      <w:numFmt w:val="bullet"/>
      <w:lvlText w:val="•"/>
      <w:lvlJc w:val="left"/>
      <w:pPr>
        <w:ind w:left="1254" w:hanging="114"/>
      </w:pPr>
      <w:rPr>
        <w:rFonts w:hint="default"/>
      </w:rPr>
    </w:lvl>
    <w:lvl w:ilvl="3" w:tplc="20269632">
      <w:numFmt w:val="bullet"/>
      <w:lvlText w:val="•"/>
      <w:lvlJc w:val="left"/>
      <w:pPr>
        <w:ind w:left="1821" w:hanging="114"/>
      </w:pPr>
      <w:rPr>
        <w:rFonts w:hint="default"/>
      </w:rPr>
    </w:lvl>
    <w:lvl w:ilvl="4" w:tplc="8D847778">
      <w:numFmt w:val="bullet"/>
      <w:lvlText w:val="•"/>
      <w:lvlJc w:val="left"/>
      <w:pPr>
        <w:ind w:left="2389" w:hanging="114"/>
      </w:pPr>
      <w:rPr>
        <w:rFonts w:hint="default"/>
      </w:rPr>
    </w:lvl>
    <w:lvl w:ilvl="5" w:tplc="A92EE336">
      <w:numFmt w:val="bullet"/>
      <w:lvlText w:val="•"/>
      <w:lvlJc w:val="left"/>
      <w:pPr>
        <w:ind w:left="2956" w:hanging="114"/>
      </w:pPr>
      <w:rPr>
        <w:rFonts w:hint="default"/>
      </w:rPr>
    </w:lvl>
    <w:lvl w:ilvl="6" w:tplc="48C044CA">
      <w:numFmt w:val="bullet"/>
      <w:lvlText w:val="•"/>
      <w:lvlJc w:val="left"/>
      <w:pPr>
        <w:ind w:left="3523" w:hanging="114"/>
      </w:pPr>
      <w:rPr>
        <w:rFonts w:hint="default"/>
      </w:rPr>
    </w:lvl>
    <w:lvl w:ilvl="7" w:tplc="469AE1F8">
      <w:numFmt w:val="bullet"/>
      <w:lvlText w:val="•"/>
      <w:lvlJc w:val="left"/>
      <w:pPr>
        <w:ind w:left="4090" w:hanging="114"/>
      </w:pPr>
      <w:rPr>
        <w:rFonts w:hint="default"/>
      </w:rPr>
    </w:lvl>
    <w:lvl w:ilvl="8" w:tplc="82D0CC74">
      <w:numFmt w:val="bullet"/>
      <w:lvlText w:val="•"/>
      <w:lvlJc w:val="left"/>
      <w:pPr>
        <w:ind w:left="4658" w:hanging="114"/>
      </w:pPr>
      <w:rPr>
        <w:rFonts w:hint="default"/>
      </w:rPr>
    </w:lvl>
  </w:abstractNum>
  <w:abstractNum w:abstractNumId="2" w15:restartNumberingAfterBreak="0">
    <w:nsid w:val="4E1F4733"/>
    <w:multiLevelType w:val="hybridMultilevel"/>
    <w:tmpl w:val="6DA259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31526"/>
    <w:multiLevelType w:val="hybridMultilevel"/>
    <w:tmpl w:val="F718D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5026C"/>
    <w:multiLevelType w:val="hybridMultilevel"/>
    <w:tmpl w:val="15F001AC"/>
    <w:lvl w:ilvl="0" w:tplc="F956D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A1"/>
    <w:rsid w:val="0011058A"/>
    <w:rsid w:val="002521A3"/>
    <w:rsid w:val="00277FC6"/>
    <w:rsid w:val="004466C6"/>
    <w:rsid w:val="00557BE1"/>
    <w:rsid w:val="00612071"/>
    <w:rsid w:val="0065491B"/>
    <w:rsid w:val="006769B3"/>
    <w:rsid w:val="00695CA1"/>
    <w:rsid w:val="00710E89"/>
    <w:rsid w:val="00727ED1"/>
    <w:rsid w:val="007E7513"/>
    <w:rsid w:val="008675AC"/>
    <w:rsid w:val="00A07E6F"/>
    <w:rsid w:val="00BC10E9"/>
    <w:rsid w:val="00C75669"/>
    <w:rsid w:val="00D10CBC"/>
    <w:rsid w:val="00D36702"/>
    <w:rsid w:val="00DF0C91"/>
    <w:rsid w:val="00E11323"/>
    <w:rsid w:val="00EB2EF8"/>
    <w:rsid w:val="00EE5CE4"/>
    <w:rsid w:val="00F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D72A"/>
  <w15:chartTrackingRefBased/>
  <w15:docId w15:val="{7B178C61-CE5B-4A10-B071-8B66A6FB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95CA1"/>
    <w:pPr>
      <w:widowControl w:val="0"/>
      <w:autoSpaceDE w:val="0"/>
      <w:autoSpaceDN w:val="0"/>
      <w:spacing w:after="0" w:line="274" w:lineRule="exact"/>
      <w:ind w:left="112"/>
      <w:jc w:val="both"/>
      <w:outlineLvl w:val="0"/>
    </w:pPr>
    <w:rPr>
      <w:rFonts w:ascii="Arial Narrow" w:eastAsia="Arial Narrow" w:hAnsi="Arial Narrow" w:cs="Arial Narrow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95CA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5CA1"/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695CA1"/>
    <w:rPr>
      <w:rFonts w:ascii="Arial Narrow" w:eastAsia="Arial Narrow" w:hAnsi="Arial Narrow" w:cs="Arial Narrow"/>
      <w:b/>
      <w:bCs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695CA1"/>
    <w:pPr>
      <w:widowControl w:val="0"/>
      <w:autoSpaceDE w:val="0"/>
      <w:autoSpaceDN w:val="0"/>
      <w:spacing w:before="268" w:after="0" w:line="240" w:lineRule="auto"/>
      <w:ind w:left="112" w:right="38"/>
      <w:jc w:val="both"/>
    </w:pPr>
    <w:rPr>
      <w:rFonts w:ascii="Arial Narrow" w:eastAsia="Arial Narrow" w:hAnsi="Arial Narrow" w:cs="Arial Narrow"/>
      <w:lang w:val="en-US"/>
    </w:rPr>
  </w:style>
  <w:style w:type="paragraph" w:styleId="NormalWeb">
    <w:name w:val="Normal (Web)"/>
    <w:basedOn w:val="Normal"/>
    <w:uiPriority w:val="99"/>
    <w:unhideWhenUsed/>
    <w:rsid w:val="0069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695CA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95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2019-11-08T01:57:00Z</dcterms:created>
  <dcterms:modified xsi:type="dcterms:W3CDTF">2019-11-08T01:57:00Z</dcterms:modified>
</cp:coreProperties>
</file>